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Procedimento de heteroclassificação dos candidatos autodeclarados negros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Chamada conjunta de apoio a pós-docs negros e indígenas em ecologia 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candidatos autodeclarados negros selecionados na fase 1 do processo seletivo que tiverem suas autodeclarações de cor/raça confirmadas pelo Comitê de Confirmação de Autodeclaração são chamados a enviar propostas completas para a fase 2.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confirmação da </w:t>
      </w:r>
      <w:r w:rsidDel="00000000" w:rsidR="00000000" w:rsidRPr="00000000">
        <w:rPr>
          <w:rtl w:val="0"/>
        </w:rPr>
        <w:t xml:space="preserve">autodeclaração </w:t>
      </w:r>
      <w:r w:rsidDel="00000000" w:rsidR="00000000" w:rsidRPr="00000000">
        <w:rPr>
          <w:rtl w:val="0"/>
        </w:rPr>
        <w:t xml:space="preserve">é realizada por um grupo composto por cinco membros, respeitando-se a diversidade de gênero e cor/raça, com conhecimento sobre a temática da promoção da igualdade racial e experiência comprovada nesse procedimento.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reunião virtual entre o grupo de validação e cada um dos candidatos é realizada. Para a aferição da condição autodeclarada pelo candidato são considerados os aspectos fenotípicos, marcados pelos traços relativos à cor da pele (preta ou parda) e aos aspectos faciais predominantes como lábios, nariz e textura do cabelo, que, combinados ou não, permitirão confirmar a autodeclaração. Não é considerado o fator genotípico do candidato ou fenotípico dos parentes.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procedimento de heteroclassificação é filmado e sua gravação é utilizada na análise de eventuais recursos interpostos pelos candidatos.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comissão de heteroclassificação delibera pela maioria de seus membros e emite um parecer. O teor do parecer é de acesso restrito aos membros do grupo de heteroclassificação e ao Instituto Serrapilheira.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caso de recurso, este é apreciado e julgado, uma única vez, por um outro grupo de cinco membros, respeitando-se a diversidade de gênero e cor/raça, com conhecimento sobre a temática da promoção da igualdade racial e experiência comprovada nesse procedimento. A decisão desse grupo revisor é irrecorrível.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candidato que não comparecer ao procedimento de heteroclassificação não participa da fase 2.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candidato cuja autodeclaração não for confirmada em procedimento de heteroclassificação não participa da fase 2 do processo seletivo.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resultado provisório e definitivo do procedimento de heteroclassificação é publicado no site do Instituto Serrapilheira, do qual constarão: número de cadastro, nome e a conclusão da heteroclassificação (atende ou não aos requisitos fenotípicos de pessoa negra).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